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№237-ФЗ«О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состояниюна 1 января 2018 года в составе земель отдельных категорий, вт.ч.: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>от 1 ноября 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Об утверждении результатов государственной кадастровой оценки земельных участков Республики Башкортостан по состоянию на 1 января 2018 годав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>г.Уфа, ул.Бессонова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AC362A"/>
    <w:rsid w:val="00B43BD3"/>
    <w:rsid w:val="00B44478"/>
    <w:rsid w:val="00B83D52"/>
    <w:rsid w:val="00BA3DE3"/>
    <w:rsid w:val="00BE4F96"/>
    <w:rsid w:val="00BF57DA"/>
    <w:rsid w:val="00C145D1"/>
    <w:rsid w:val="00C4067C"/>
    <w:rsid w:val="00C41152"/>
    <w:rsid w:val="00C95EA0"/>
    <w:rsid w:val="00CD2F58"/>
    <w:rsid w:val="00CF410D"/>
    <w:rsid w:val="00D30E3B"/>
    <w:rsid w:val="00D739D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4</cp:lastModifiedBy>
  <cp:revision>2</cp:revision>
  <cp:lastPrinted>2018-11-15T07:54:00Z</cp:lastPrinted>
  <dcterms:created xsi:type="dcterms:W3CDTF">2018-12-05T09:14:00Z</dcterms:created>
  <dcterms:modified xsi:type="dcterms:W3CDTF">2018-12-05T09:14:00Z</dcterms:modified>
</cp:coreProperties>
</file>